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7" w:type="dxa"/>
        <w:tblInd w:w="94" w:type="dxa"/>
        <w:tblLook w:val="04A0"/>
      </w:tblPr>
      <w:tblGrid>
        <w:gridCol w:w="3842"/>
        <w:gridCol w:w="1985"/>
        <w:gridCol w:w="1842"/>
        <w:gridCol w:w="1701"/>
        <w:gridCol w:w="1701"/>
        <w:gridCol w:w="992"/>
        <w:gridCol w:w="566"/>
        <w:gridCol w:w="1706"/>
        <w:gridCol w:w="94"/>
        <w:gridCol w:w="222"/>
        <w:gridCol w:w="236"/>
      </w:tblGrid>
      <w:tr w:rsidR="00F52E91" w:rsidRPr="00F52E91" w:rsidTr="00BE6F41">
        <w:trPr>
          <w:trHeight w:val="338"/>
        </w:trPr>
        <w:tc>
          <w:tcPr>
            <w:tcW w:w="14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รายงานประมาณการรายรับ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F52E91" w:rsidRPr="00F52E91" w:rsidTr="00BE6F41">
        <w:trPr>
          <w:trHeight w:val="338"/>
        </w:trPr>
        <w:tc>
          <w:tcPr>
            <w:tcW w:w="14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พ.ศ. 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F52E91" w:rsidRPr="00F52E91" w:rsidTr="00BE6F41">
        <w:trPr>
          <w:trHeight w:val="338"/>
        </w:trPr>
        <w:tc>
          <w:tcPr>
            <w:tcW w:w="14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องค์การบริหารส่วนตำบลแม่กรณ์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F52E91" w:rsidRPr="00F52E91" w:rsidTr="00BE6F41">
        <w:trPr>
          <w:trHeight w:val="338"/>
        </w:trPr>
        <w:tc>
          <w:tcPr>
            <w:tcW w:w="14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 เมืองเชียงราย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จังหวัดเชียงราย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F52E91" w:rsidRPr="00F52E91" w:rsidTr="00BE6F41">
        <w:trPr>
          <w:gridAfter w:val="3"/>
          <w:wAfter w:w="552" w:type="dxa"/>
          <w:trHeight w:val="360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รายรับจริง</w:t>
            </w:r>
          </w:p>
        </w:tc>
        <w:tc>
          <w:tcPr>
            <w:tcW w:w="4965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ประมาณการ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55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ยอดต่าง</w:t>
            </w: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2563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หมวดภาษีอากร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ภาษีที่ดินและสิ่งปลูกสร้าง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988,626.00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ภาษีโรงเรือนและที่ดิน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1,457,360.41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1,625,751.95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1,684,029.86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1,625,700.00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-100.00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ภาษีบำรุงท้องที่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80,818.23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93,924.00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90,959.00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93,000.00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-100.00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ภาษีป้าย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104,328.00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133,667.00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212,284.00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133,000.00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133,000.00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รวมหมวดภาษีอากร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1,642,506.64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1,853,342.95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1,987,272.86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1,851,700.00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1,121,626.00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ค่าธรรมเนียมเกี่ยวกับใบอนุญาตการขายสุรา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3,298.00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3,104.00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4,141.90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3,400.00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3,400.00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ค่าธรรมเนียมเกี่ยวกับการควบคุมอาคาร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829.00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13,985.00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ค่าธรรมเนียมในการออกหนังสือรับรองการแจ้งสถานที่จำหน่ายอาหารหรือสะสมอาหาร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5,050.00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29,850.00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29,850.00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ค่าธรรมเนียมปิด โปรย ติดตั้งแผ่นประกาศหรือแผ่นปลิวเพื่อการโฆษณา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110.00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200.00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1,090.00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2,000.00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ค่าธรรมเนียมอื่น ๆ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5,330.00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8,555.00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5,000.00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ค่าปรับผู้กระทำผิดกฎหมายจราจรทางบก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500.00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ค่าปรับการผิดสัญญา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103,600.00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17,842.00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1,000.00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47,700.00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62,350.00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58,350.00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62,000.00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62,000.00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ค่าใบอนุญาตจัดตั้งสถานที่จำหน่ายอาหารหรือสถานที่สะสมอาหารในครัว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หรือพื้นที่ใด ซึ่งมีพื้นที่เกิน 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200 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ตารางเมตร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15,700.00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29,850.00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26,450.00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BE6F4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E6F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 xml:space="preserve">     </w:t>
            </w:r>
            <w:r w:rsidRPr="00BE6F4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cs/>
              </w:rPr>
              <w:t>ค่าใบอนุญาตจำหน่ายสินค้าในที่หรือทางสาธารณะ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4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99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1,000.00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ค่าใบอนุญาตเกี่ยวกับการควบคุมอาคาร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4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8,222.00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9,100.00</w:t>
            </w:r>
          </w:p>
        </w:tc>
        <w:tc>
          <w:tcPr>
            <w:tcW w:w="99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9,100.00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 xml:space="preserve">     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ค่าใบอนุญาตอื่นๆ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รวมหมวดค่าธรรมเนียม ค่าปรับ และใบอนุญาต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175,348.00</w:t>
            </w:r>
          </w:p>
        </w:tc>
        <w:tc>
          <w:tcPr>
            <w:tcW w:w="184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111,615.00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130,723.90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113,550.00</w:t>
            </w:r>
          </w:p>
        </w:tc>
        <w:tc>
          <w:tcPr>
            <w:tcW w:w="99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114,050.00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หมวดรายได้จากทรัพย์สิน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ดอกเบี้ย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283,613.00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239,719.12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240,981.33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240,000.00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240,000.00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รวมหมวดรายได้จากทรัพย์สิน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283,613.00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239,719.12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240,981.33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240,000.00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240,000.00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หมวดรายได้เบ็ดเตล็ด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ค่าขายแบบแปลน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30,500.00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32,200.00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14,000.00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32,000.00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รายได้เบ็ดเตล็ดอื่นๆ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20,114.00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6,700.00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8,800.35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6,700.00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6,700.00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รวมหมวดรายได้เบ็ดเตล็ด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50,614.00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38,900.00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22,800.35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38,700.00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38,700.00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หมวดภาษีจัดสรร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ภาษีและค่าธรรมเนียมรถยนต์และล้อเลื่อน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450,069.60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800,376.53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644,460.77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800,000.00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800,000.00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ภาษีมูลค่าเพิ่มตาม พ.ร.บ. กำหนดแผนฯ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7,780,840.03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8,208,717.11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9,021,158.27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8,903,450.00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9.58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9,756,524.00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ภาษีมูลค่าเพิ่มตาม พ.ร.บ. จัดสรรรายได้ฯ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2,573,071.34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2,551,263.67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2,904,277.17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2,287,000.00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2,287,000.00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ภาษีธุรกิจเฉพาะ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146,787.06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133,240.81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134,412.02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133,200.00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133,200.00</w:t>
            </w:r>
          </w:p>
        </w:tc>
      </w:tr>
      <w:tr w:rsidR="00F52E91" w:rsidRPr="00F52E91" w:rsidTr="00BE6F41">
        <w:trPr>
          <w:gridAfter w:val="3"/>
          <w:wAfter w:w="552" w:type="dxa"/>
          <w:trHeight w:val="257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BE6F4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="00F52E91"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ภาษีสุรา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1,311,087.89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1,346,883.39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1,346,800.00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-100.00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ภาษีสรรพสามิต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2,820,160.86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3,245,830.46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5,527,374.56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3,245,800.00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37.70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4,469,600.00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ค่าภาคหลวงแร่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46,096.77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52,494.27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54,439.64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52,000.00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52,000.00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ค่าภาคหลวงปิโตรเลียม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44,510.87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41,862.21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42,558.23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41,800.00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41,800.00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1,887,682.00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3,446,099.00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2,086,917.00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3,446,000.00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3,445,500.00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ค่าธรรมเนียมและค่าใช้น้ำบาดาล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2,550.00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รวมหมวดภาษีจัดสรร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17,060,306.42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19,826,767.45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20,418,147.66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20,256,050.00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20,985,624.00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หมวดเงินอุดหนุนทั่วไป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เงินอุดหนุนทั่วไป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สำหรับดำเนินการตามอำนาจหน้าที่และภารกิจถ่ายโอนเลือกทำ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7,201,481.00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18,253,384.00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18,869,962.00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20,500,000.00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รวมหมวดเงินอุดหนุนทั่วไป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7,201,481.00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18,253,384.00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18,869,962.00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20,000,000.00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20,500,000.00</w:t>
            </w:r>
          </w:p>
        </w:tc>
      </w:tr>
      <w:tr w:rsidR="00F52E91" w:rsidRPr="00F52E91" w:rsidTr="00BE6F41">
        <w:trPr>
          <w:gridAfter w:val="3"/>
          <w:wAfter w:w="552" w:type="dxa"/>
          <w:trHeight w:val="285"/>
        </w:trPr>
        <w:tc>
          <w:tcPr>
            <w:tcW w:w="384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รวมทุกหมวด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26,413,869.06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40,323,728.52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41,669,888.10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FFFFFF" w:fill="FFFFFF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42,500,000.00</w:t>
            </w:r>
          </w:p>
        </w:tc>
        <w:tc>
          <w:tcPr>
            <w:tcW w:w="99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52E91" w:rsidRPr="00F52E91" w:rsidRDefault="00F52E91" w:rsidP="00F52E9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52E9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43,000,000.00</w:t>
            </w:r>
          </w:p>
        </w:tc>
      </w:tr>
    </w:tbl>
    <w:p w:rsidR="00B471B7" w:rsidRDefault="00B471B7"/>
    <w:sectPr w:rsidR="00B471B7" w:rsidSect="00C52813">
      <w:headerReference w:type="default" r:id="rId7"/>
      <w:pgSz w:w="16838" w:h="11906" w:orient="landscape"/>
      <w:pgMar w:top="1418" w:right="1440" w:bottom="1418" w:left="1440" w:header="1413" w:footer="709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720" w:rsidRDefault="00654720" w:rsidP="00996D39">
      <w:pPr>
        <w:spacing w:after="0" w:line="240" w:lineRule="auto"/>
      </w:pPr>
      <w:r>
        <w:separator/>
      </w:r>
    </w:p>
  </w:endnote>
  <w:endnote w:type="continuationSeparator" w:id="1">
    <w:p w:rsidR="00654720" w:rsidRDefault="00654720" w:rsidP="0099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720" w:rsidRDefault="00654720" w:rsidP="00996D39">
      <w:pPr>
        <w:spacing w:after="0" w:line="240" w:lineRule="auto"/>
      </w:pPr>
      <w:r>
        <w:separator/>
      </w:r>
    </w:p>
  </w:footnote>
  <w:footnote w:type="continuationSeparator" w:id="1">
    <w:p w:rsidR="00654720" w:rsidRDefault="00654720" w:rsidP="0099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33535"/>
      <w:docPartObj>
        <w:docPartGallery w:val="Page Numbers (Top of Page)"/>
        <w:docPartUnique/>
      </w:docPartObj>
    </w:sdtPr>
    <w:sdtEndPr>
      <w:rPr>
        <w:rFonts w:ascii="Microsoft Sans Serif" w:hAnsi="Microsoft Sans Serif" w:cs="Microsoft Sans Serif"/>
        <w:sz w:val="24"/>
        <w:szCs w:val="32"/>
      </w:rPr>
    </w:sdtEndPr>
    <w:sdtContent>
      <w:p w:rsidR="00996D39" w:rsidRPr="00996D39" w:rsidRDefault="00D77428">
        <w:pPr>
          <w:pStyle w:val="a3"/>
          <w:jc w:val="center"/>
          <w:rPr>
            <w:rFonts w:ascii="Microsoft Sans Serif" w:hAnsi="Microsoft Sans Serif" w:cs="Microsoft Sans Serif"/>
            <w:sz w:val="24"/>
            <w:szCs w:val="32"/>
          </w:rPr>
        </w:pPr>
        <w:r w:rsidRPr="00996D39">
          <w:rPr>
            <w:rFonts w:ascii="Microsoft Sans Serif" w:hAnsi="Microsoft Sans Serif" w:cs="Microsoft Sans Serif"/>
            <w:sz w:val="24"/>
            <w:szCs w:val="32"/>
          </w:rPr>
          <w:fldChar w:fldCharType="begin"/>
        </w:r>
        <w:r w:rsidR="00996D39" w:rsidRPr="00996D39">
          <w:rPr>
            <w:rFonts w:ascii="Microsoft Sans Serif" w:hAnsi="Microsoft Sans Serif" w:cs="Microsoft Sans Serif"/>
            <w:sz w:val="24"/>
            <w:szCs w:val="32"/>
          </w:rPr>
          <w:instrText xml:space="preserve"> PAGE   \* MERGEFORMAT </w:instrText>
        </w:r>
        <w:r w:rsidRPr="00996D39">
          <w:rPr>
            <w:rFonts w:ascii="Microsoft Sans Serif" w:hAnsi="Microsoft Sans Serif" w:cs="Microsoft Sans Serif"/>
            <w:sz w:val="24"/>
            <w:szCs w:val="32"/>
          </w:rPr>
          <w:fldChar w:fldCharType="separate"/>
        </w:r>
        <w:r w:rsidR="00C52813">
          <w:rPr>
            <w:rFonts w:ascii="Microsoft Sans Serif" w:hAnsi="Microsoft Sans Serif" w:cs="Microsoft Sans Serif"/>
            <w:noProof/>
            <w:sz w:val="24"/>
            <w:szCs w:val="32"/>
          </w:rPr>
          <w:t>17</w:t>
        </w:r>
        <w:r w:rsidRPr="00996D39">
          <w:rPr>
            <w:rFonts w:ascii="Microsoft Sans Serif" w:hAnsi="Microsoft Sans Serif" w:cs="Microsoft Sans Serif"/>
            <w:sz w:val="24"/>
            <w:szCs w:val="32"/>
          </w:rPr>
          <w:fldChar w:fldCharType="end"/>
        </w:r>
      </w:p>
    </w:sdtContent>
  </w:sdt>
  <w:p w:rsidR="00996D39" w:rsidRDefault="00996D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52E91"/>
    <w:rsid w:val="000648F5"/>
    <w:rsid w:val="00116B0F"/>
    <w:rsid w:val="002800E8"/>
    <w:rsid w:val="00654720"/>
    <w:rsid w:val="006A7928"/>
    <w:rsid w:val="00714C6A"/>
    <w:rsid w:val="00730DFE"/>
    <w:rsid w:val="008A5AF6"/>
    <w:rsid w:val="00996D39"/>
    <w:rsid w:val="00A15A27"/>
    <w:rsid w:val="00B471B7"/>
    <w:rsid w:val="00BE6F41"/>
    <w:rsid w:val="00C52813"/>
    <w:rsid w:val="00D670EC"/>
    <w:rsid w:val="00D77428"/>
    <w:rsid w:val="00E32CAE"/>
    <w:rsid w:val="00EE58F1"/>
    <w:rsid w:val="00F06573"/>
    <w:rsid w:val="00F5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96D39"/>
  </w:style>
  <w:style w:type="paragraph" w:styleId="a5">
    <w:name w:val="footer"/>
    <w:basedOn w:val="a"/>
    <w:link w:val="a6"/>
    <w:uiPriority w:val="99"/>
    <w:semiHidden/>
    <w:unhideWhenUsed/>
    <w:rsid w:val="00996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996D39"/>
  </w:style>
  <w:style w:type="paragraph" w:styleId="a7">
    <w:name w:val="Balloon Text"/>
    <w:basedOn w:val="a"/>
    <w:link w:val="a8"/>
    <w:uiPriority w:val="99"/>
    <w:semiHidden/>
    <w:unhideWhenUsed/>
    <w:rsid w:val="00996D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96D3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1C6E-B520-4074-9F6A-05077B19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2019-08-08T08:00:00Z</dcterms:created>
  <dcterms:modified xsi:type="dcterms:W3CDTF">2019-08-14T07:36:00Z</dcterms:modified>
</cp:coreProperties>
</file>